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rFonts w:ascii="Arial" w:cs="Arial" w:hAnsi="Arial" w:eastAsia="Arial"/>
          <w:sz w:val="54"/>
          <w:szCs w:val="54"/>
        </w:rPr>
      </w:pP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ru-RU"/>
          <w14:textFill>
            <w14:solidFill>
              <w14:srgbClr w14:val="FF1A00"/>
            </w14:solidFill>
          </w14:textFill>
        </w:rPr>
        <w:t>Вним</w:t>
      </w: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14:textFill>
            <w14:solidFill>
              <w14:srgbClr w14:val="FF1A00"/>
            </w14:solidFill>
          </w14:textFill>
        </w:rPr>
        <w:t>а</w:t>
      </w: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ru-RU"/>
          <w14:textFill>
            <w14:solidFill>
              <w14:srgbClr w14:val="FF1A00"/>
            </w14:solidFill>
          </w14:textFill>
        </w:rPr>
        <w:t>н</w:t>
      </w: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14:textFill>
            <w14:solidFill>
              <w14:srgbClr w14:val="FF1A00"/>
            </w14:solidFill>
          </w14:textFill>
        </w:rPr>
        <w:t>и</w:t>
      </w: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ru-RU"/>
          <w14:textFill>
            <w14:solidFill>
              <w14:srgbClr w14:val="FF1A00"/>
            </w14:solidFill>
          </w14:textFill>
        </w:rPr>
        <w:t>ю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14:textFill>
            <w14:solidFill>
              <w14:srgbClr w14:val="FF1A0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ru-RU"/>
          <w14:textFill>
            <w14:solidFill>
              <w14:srgbClr w14:val="FF1A00"/>
            </w14:solidFill>
          </w14:textFill>
        </w:rPr>
        <w:t>учителей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!</w:t>
      </w:r>
      <w:r>
        <w:rPr>
          <w:rFonts w:ascii="Arial" w:cs="Arial" w:hAnsi="Arial" w:eastAsia="Arial"/>
          <w:outline w:val="0"/>
          <w:color w:val="ff1a00"/>
          <w:sz w:val="54"/>
          <w:szCs w:val="54"/>
          <w:u w:color="2f5496"/>
          <w:lang w:val="en-US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margin">
              <wp:posOffset>-127636</wp:posOffset>
            </wp:positionH>
            <wp:positionV relativeFrom="line">
              <wp:posOffset>15398</wp:posOffset>
            </wp:positionV>
            <wp:extent cx="2929571" cy="1925148"/>
            <wp:effectExtent l="0" t="0" r="0" b="0"/>
            <wp:wrapSquare wrapText="bothSides" distL="203200" distR="203200" distT="203200" distB="203200"/>
            <wp:docPr id="1073741825" name="officeArt object" descr="logo-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ru.png" descr="logo-ru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6" t="0" r="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929571" cy="19251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240" w:line="420" w:lineRule="atLeast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Приглашаем Вас и Ваших учеников принять участие в Международных дистанционных образовательных конкурсах «Бр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ru-RU"/>
        </w:rPr>
        <w:t>э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йн Ринг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2023 -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Осенняя сессия» для учащихся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1-11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классов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Участие в конкурсах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«Бр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ru-RU"/>
        </w:rPr>
        <w:t>э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йн Ринг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2023 -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Осенняя сессия»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возможн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о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 любое время с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ноября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2023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включительно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10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конкурсов по различным предметам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русский язык и литература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английский язык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математика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биология и окружающий мир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информатика и ИКТ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физика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химия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история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география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обществознание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Цель конкурсов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-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повышение мотивации учащихся к обучению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Задания различной сложности соответствуют учебной программе и разделены на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уровней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соответствующих классам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40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минут на выполнение всех заданий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(1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урок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).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Все участники получат именные дипломы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,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грамоты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 xml:space="preserve">и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«Брэйн Ринг»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ручки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Так же смогут выиграть другие ценные призы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!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Учителя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кураторы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которые зарегистрируют своих учеников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получат сертификат организатора конкурсов и денежную компенсацию до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30%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от суммы взносов за участие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Учителя участников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которые получат дипломы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1-3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степеней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получат свидетельства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подтверждающие эти достижения учеников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Ученики могут участвовать в любое удобное время не только в школе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но и дома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поэтому дистанционное обучение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-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не помеха для участия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 Участие в конкурсах проходит на сайте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ru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Стоимость участия одного ученика в конкурсах 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ru-RU"/>
        </w:rPr>
        <w:t>20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0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ru-RU"/>
        </w:rPr>
        <w:t>рублей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Р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еєстрація на участь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та докладніше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ru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